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jc w:val="both"/>
        <w:rPr>
          <w:rFonts w:ascii="Arial" w:hAnsi="Arial" w:cs="Arial"/>
          <w:b/>
          <w:bCs/>
          <w:color w:val="000080"/>
          <w:sz w:val="38"/>
          <w:szCs w:val="38"/>
          <w:lang w:val="es-MX" w:eastAsia="es-MX"/>
        </w:rPr>
      </w:pPr>
      <w:r>
        <w:rPr>
          <w:rFonts w:ascii="Arial" w:hAnsi="Arial" w:cs="Arial"/>
          <w:b/>
          <w:bCs/>
          <w:color w:val="000080"/>
          <w:sz w:val="38"/>
          <w:szCs w:val="38"/>
          <w:lang w:val="es-MX" w:eastAsia="es-MX"/>
        </w:rPr>
        <w:t>11.- Informe sobre el Control Interno</w:t>
      </w:r>
    </w:p>
    <w:p w:rsidR="00B86E3B" w:rsidRDefault="00B86E3B" w:rsidP="00B86E3B">
      <w:pPr>
        <w:jc w:val="both"/>
        <w:rPr>
          <w:rFonts w:ascii="Arial" w:hAnsi="Arial" w:cs="Arial"/>
          <w:b/>
          <w:bCs/>
          <w:color w:val="000080"/>
          <w:sz w:val="38"/>
          <w:szCs w:val="38"/>
          <w:lang w:val="es-MX" w:eastAsia="es-MX"/>
        </w:rPr>
      </w:pPr>
    </w:p>
    <w:p w:rsidR="00B86E3B" w:rsidRP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B86E3B">
        <w:rPr>
          <w:rFonts w:ascii="Arial" w:hAnsi="Arial" w:cs="Arial"/>
          <w:b/>
          <w:bCs/>
          <w:noProof/>
          <w:sz w:val="22"/>
          <w:szCs w:val="22"/>
          <w:lang w:val="es-MX" w:eastAsia="es-MX"/>
        </w:rPr>
        <w:drawing>
          <wp:anchor distT="0" distB="0" distL="114300" distR="114300" simplePos="0" relativeHeight="251659264" behindDoc="1" locked="1" layoutInCell="1" allowOverlap="1">
            <wp:simplePos x="0" y="0"/>
            <wp:positionH relativeFrom="column">
              <wp:posOffset>-944245</wp:posOffset>
            </wp:positionH>
            <wp:positionV relativeFrom="paragraph">
              <wp:posOffset>-7312025</wp:posOffset>
            </wp:positionV>
            <wp:extent cx="7455535" cy="10834370"/>
            <wp:effectExtent l="19050" t="0" r="0" b="0"/>
            <wp:wrapNone/>
            <wp:docPr id="4" name="Imagen 2" descr="Hoja Membret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Hoja Membretad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5535" cy="10834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1F6898" w:rsidRDefault="001F6898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1F6898" w:rsidRDefault="001F6898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1F6898" w:rsidRDefault="001F6898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86E3B" w:rsidRPr="009C3730" w:rsidRDefault="00B86E3B" w:rsidP="00B86E3B">
      <w:pPr>
        <w:tabs>
          <w:tab w:val="num" w:pos="567"/>
        </w:tabs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11.1 </w:t>
      </w:r>
      <w:r w:rsidRPr="009C3730">
        <w:rPr>
          <w:rFonts w:ascii="Arial" w:hAnsi="Arial" w:cs="Arial"/>
          <w:b/>
          <w:bCs/>
          <w:sz w:val="22"/>
          <w:szCs w:val="22"/>
        </w:rPr>
        <w:t>Cumplimiento del Informe anual del estado que guarda el Sistema de Control Interno Institucional.</w:t>
      </w:r>
    </w:p>
    <w:p w:rsidR="00B86E3B" w:rsidRPr="00487AED" w:rsidRDefault="00B86E3B" w:rsidP="00B86E3B">
      <w:pPr>
        <w:jc w:val="both"/>
        <w:rPr>
          <w:rFonts w:ascii="Arial" w:hAnsi="Arial" w:cs="Arial"/>
          <w:bCs/>
          <w:sz w:val="22"/>
          <w:szCs w:val="22"/>
        </w:rPr>
      </w:pPr>
    </w:p>
    <w:p w:rsidR="00B86E3B" w:rsidRPr="009C3730" w:rsidRDefault="00B86E3B" w:rsidP="00B86E3B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</w:t>
      </w:r>
      <w:r w:rsidRPr="00487AED">
        <w:rPr>
          <w:rFonts w:ascii="Arial" w:hAnsi="Arial" w:cs="Arial"/>
          <w:bCs/>
          <w:sz w:val="22"/>
          <w:szCs w:val="22"/>
        </w:rPr>
        <w:t>e envió a la Secretaría de la Función Pública el Informe Anual del estado que guarda el Control Interno Institucional del ejercicio 20</w:t>
      </w:r>
      <w:r w:rsidR="00130D27">
        <w:rPr>
          <w:rFonts w:ascii="Arial" w:hAnsi="Arial" w:cs="Arial"/>
          <w:bCs/>
          <w:sz w:val="22"/>
          <w:szCs w:val="22"/>
        </w:rPr>
        <w:t>09</w:t>
      </w:r>
      <w:r w:rsidRPr="00487AED">
        <w:rPr>
          <w:rFonts w:ascii="Arial" w:hAnsi="Arial" w:cs="Arial"/>
          <w:bCs/>
          <w:sz w:val="22"/>
          <w:szCs w:val="22"/>
        </w:rPr>
        <w:t>, refleja</w:t>
      </w:r>
      <w:r>
        <w:rPr>
          <w:rFonts w:ascii="Arial" w:hAnsi="Arial" w:cs="Arial"/>
          <w:bCs/>
          <w:sz w:val="22"/>
          <w:szCs w:val="22"/>
        </w:rPr>
        <w:t>ndo</w:t>
      </w:r>
      <w:r w:rsidRPr="00487AED">
        <w:rPr>
          <w:rFonts w:ascii="Arial" w:hAnsi="Arial" w:cs="Arial"/>
          <w:bCs/>
          <w:sz w:val="22"/>
          <w:szCs w:val="22"/>
        </w:rPr>
        <w:t xml:space="preserve"> los aspectos más relevantes y las acciones llevadas a cabo por el Centro, en la implementación, actualización, fortalecimiento y seguimiento del Sistema de Control Interno Institucional.</w:t>
      </w:r>
      <w:r>
        <w:rPr>
          <w:rFonts w:ascii="Arial" w:hAnsi="Arial" w:cs="Arial"/>
          <w:bCs/>
          <w:sz w:val="22"/>
          <w:szCs w:val="22"/>
        </w:rPr>
        <w:t xml:space="preserve"> El informe contempla el cumplimiento a </w:t>
      </w:r>
      <w:r w:rsidRPr="00F90A31">
        <w:rPr>
          <w:rFonts w:ascii="Arial" w:hAnsi="Arial" w:cs="Arial"/>
          <w:bCs/>
          <w:sz w:val="22"/>
          <w:szCs w:val="22"/>
        </w:rPr>
        <w:t>las acciones de mejora comprometidas en los Informes Anuales del 2006, 2007 y 2008</w:t>
      </w:r>
      <w:r>
        <w:rPr>
          <w:rFonts w:ascii="Arial" w:hAnsi="Arial" w:cs="Arial"/>
          <w:bCs/>
          <w:sz w:val="22"/>
          <w:szCs w:val="22"/>
        </w:rPr>
        <w:t>, así como un resumen ejecutivo de las normas de e</w:t>
      </w:r>
      <w:r w:rsidRPr="00487AED">
        <w:rPr>
          <w:rFonts w:ascii="Arial" w:hAnsi="Arial" w:cs="Arial"/>
          <w:bCs/>
          <w:sz w:val="22"/>
          <w:szCs w:val="22"/>
        </w:rPr>
        <w:t xml:space="preserve">stablecer y </w:t>
      </w:r>
      <w:r>
        <w:rPr>
          <w:rFonts w:ascii="Arial" w:hAnsi="Arial" w:cs="Arial"/>
          <w:bCs/>
          <w:sz w:val="22"/>
          <w:szCs w:val="22"/>
        </w:rPr>
        <w:t>m</w:t>
      </w:r>
      <w:r w:rsidRPr="00487AED">
        <w:rPr>
          <w:rFonts w:ascii="Arial" w:hAnsi="Arial" w:cs="Arial"/>
          <w:bCs/>
          <w:sz w:val="22"/>
          <w:szCs w:val="22"/>
        </w:rPr>
        <w:t>antener un Ambiente de Control</w:t>
      </w:r>
      <w:r>
        <w:rPr>
          <w:rFonts w:ascii="Arial" w:hAnsi="Arial" w:cs="Arial"/>
          <w:bCs/>
          <w:sz w:val="22"/>
          <w:szCs w:val="22"/>
        </w:rPr>
        <w:t>; i</w:t>
      </w:r>
      <w:r w:rsidRPr="00487AED">
        <w:rPr>
          <w:rFonts w:ascii="Arial" w:hAnsi="Arial" w:cs="Arial"/>
          <w:bCs/>
          <w:sz w:val="22"/>
          <w:szCs w:val="22"/>
        </w:rPr>
        <w:t xml:space="preserve">dentificar, </w:t>
      </w:r>
      <w:r>
        <w:rPr>
          <w:rFonts w:ascii="Arial" w:hAnsi="Arial" w:cs="Arial"/>
          <w:bCs/>
          <w:sz w:val="22"/>
          <w:szCs w:val="22"/>
        </w:rPr>
        <w:t>e</w:t>
      </w:r>
      <w:r w:rsidRPr="00487AED">
        <w:rPr>
          <w:rFonts w:ascii="Arial" w:hAnsi="Arial" w:cs="Arial"/>
          <w:bCs/>
          <w:sz w:val="22"/>
          <w:szCs w:val="22"/>
        </w:rPr>
        <w:t xml:space="preserve">valuar y </w:t>
      </w:r>
      <w:r>
        <w:rPr>
          <w:rFonts w:ascii="Arial" w:hAnsi="Arial" w:cs="Arial"/>
          <w:bCs/>
          <w:sz w:val="22"/>
          <w:szCs w:val="22"/>
        </w:rPr>
        <w:t>a</w:t>
      </w:r>
      <w:r w:rsidRPr="00487AED">
        <w:rPr>
          <w:rFonts w:ascii="Arial" w:hAnsi="Arial" w:cs="Arial"/>
          <w:bCs/>
          <w:sz w:val="22"/>
          <w:szCs w:val="22"/>
        </w:rPr>
        <w:t xml:space="preserve">dministrar los </w:t>
      </w:r>
      <w:r>
        <w:rPr>
          <w:rFonts w:ascii="Arial" w:hAnsi="Arial" w:cs="Arial"/>
          <w:bCs/>
          <w:sz w:val="22"/>
          <w:szCs w:val="22"/>
        </w:rPr>
        <w:t>r</w:t>
      </w:r>
      <w:r w:rsidRPr="00487AED">
        <w:rPr>
          <w:rFonts w:ascii="Arial" w:hAnsi="Arial" w:cs="Arial"/>
          <w:bCs/>
          <w:sz w:val="22"/>
          <w:szCs w:val="22"/>
        </w:rPr>
        <w:t>iesgos</w:t>
      </w:r>
      <w:r>
        <w:rPr>
          <w:rFonts w:ascii="Arial" w:hAnsi="Arial" w:cs="Arial"/>
          <w:bCs/>
          <w:sz w:val="22"/>
          <w:szCs w:val="22"/>
        </w:rPr>
        <w:t>; i</w:t>
      </w:r>
      <w:r w:rsidRPr="009C3730">
        <w:rPr>
          <w:rFonts w:ascii="Arial" w:hAnsi="Arial" w:cs="Arial"/>
          <w:bCs/>
          <w:sz w:val="22"/>
          <w:szCs w:val="22"/>
        </w:rPr>
        <w:t xml:space="preserve">mplementar y/o </w:t>
      </w:r>
      <w:r>
        <w:rPr>
          <w:rFonts w:ascii="Arial" w:hAnsi="Arial" w:cs="Arial"/>
          <w:bCs/>
          <w:sz w:val="22"/>
          <w:szCs w:val="22"/>
        </w:rPr>
        <w:t>a</w:t>
      </w:r>
      <w:r w:rsidRPr="009C3730">
        <w:rPr>
          <w:rFonts w:ascii="Arial" w:hAnsi="Arial" w:cs="Arial"/>
          <w:bCs/>
          <w:sz w:val="22"/>
          <w:szCs w:val="22"/>
        </w:rPr>
        <w:t xml:space="preserve">ctualizar </w:t>
      </w:r>
      <w:r>
        <w:rPr>
          <w:rFonts w:ascii="Arial" w:hAnsi="Arial" w:cs="Arial"/>
          <w:bCs/>
          <w:sz w:val="22"/>
          <w:szCs w:val="22"/>
        </w:rPr>
        <w:t>a</w:t>
      </w:r>
      <w:r w:rsidRPr="009C3730">
        <w:rPr>
          <w:rFonts w:ascii="Arial" w:hAnsi="Arial" w:cs="Arial"/>
          <w:bCs/>
          <w:sz w:val="22"/>
          <w:szCs w:val="22"/>
        </w:rPr>
        <w:t xml:space="preserve">ctividades de </w:t>
      </w:r>
      <w:r>
        <w:rPr>
          <w:rFonts w:ascii="Arial" w:hAnsi="Arial" w:cs="Arial"/>
          <w:bCs/>
          <w:sz w:val="22"/>
          <w:szCs w:val="22"/>
        </w:rPr>
        <w:t>c</w:t>
      </w:r>
      <w:r w:rsidRPr="009C3730">
        <w:rPr>
          <w:rFonts w:ascii="Arial" w:hAnsi="Arial" w:cs="Arial"/>
          <w:bCs/>
          <w:sz w:val="22"/>
          <w:szCs w:val="22"/>
        </w:rPr>
        <w:t>ontrol</w:t>
      </w:r>
      <w:r>
        <w:rPr>
          <w:rFonts w:ascii="Arial" w:hAnsi="Arial" w:cs="Arial"/>
          <w:bCs/>
          <w:sz w:val="22"/>
          <w:szCs w:val="22"/>
        </w:rPr>
        <w:t xml:space="preserve">; </w:t>
      </w:r>
      <w:r w:rsidRPr="009C3730">
        <w:rPr>
          <w:rFonts w:ascii="Arial" w:hAnsi="Arial" w:cs="Arial"/>
          <w:bCs/>
          <w:sz w:val="22"/>
          <w:szCs w:val="22"/>
        </w:rPr>
        <w:t xml:space="preserve">Informar y </w:t>
      </w:r>
      <w:r>
        <w:rPr>
          <w:rFonts w:ascii="Arial" w:hAnsi="Arial" w:cs="Arial"/>
          <w:bCs/>
          <w:sz w:val="22"/>
          <w:szCs w:val="22"/>
        </w:rPr>
        <w:t>c</w:t>
      </w:r>
      <w:r w:rsidRPr="009C3730">
        <w:rPr>
          <w:rFonts w:ascii="Arial" w:hAnsi="Arial" w:cs="Arial"/>
          <w:bCs/>
          <w:sz w:val="22"/>
          <w:szCs w:val="22"/>
        </w:rPr>
        <w:t>omunicar</w:t>
      </w:r>
      <w:r>
        <w:rPr>
          <w:rFonts w:ascii="Arial" w:hAnsi="Arial" w:cs="Arial"/>
          <w:bCs/>
          <w:sz w:val="22"/>
          <w:szCs w:val="22"/>
        </w:rPr>
        <w:t>; s</w:t>
      </w:r>
      <w:r w:rsidRPr="009C3730">
        <w:rPr>
          <w:rFonts w:ascii="Arial" w:hAnsi="Arial" w:cs="Arial"/>
          <w:bCs/>
          <w:sz w:val="22"/>
          <w:szCs w:val="22"/>
        </w:rPr>
        <w:t xml:space="preserve">upervisar y </w:t>
      </w:r>
      <w:r>
        <w:rPr>
          <w:rFonts w:ascii="Arial" w:hAnsi="Arial" w:cs="Arial"/>
          <w:bCs/>
          <w:sz w:val="22"/>
          <w:szCs w:val="22"/>
        </w:rPr>
        <w:t>m</w:t>
      </w:r>
      <w:r w:rsidRPr="009C3730">
        <w:rPr>
          <w:rFonts w:ascii="Arial" w:hAnsi="Arial" w:cs="Arial"/>
          <w:bCs/>
          <w:sz w:val="22"/>
          <w:szCs w:val="22"/>
        </w:rPr>
        <w:t xml:space="preserve">ejorar </w:t>
      </w:r>
      <w:r>
        <w:rPr>
          <w:rFonts w:ascii="Arial" w:hAnsi="Arial" w:cs="Arial"/>
          <w:bCs/>
          <w:sz w:val="22"/>
          <w:szCs w:val="22"/>
        </w:rPr>
        <w:t>continuamente el co</w:t>
      </w:r>
      <w:r w:rsidRPr="009C3730">
        <w:rPr>
          <w:rFonts w:ascii="Arial" w:hAnsi="Arial" w:cs="Arial"/>
          <w:bCs/>
          <w:sz w:val="22"/>
          <w:szCs w:val="22"/>
        </w:rPr>
        <w:t xml:space="preserve">ntrol </w:t>
      </w:r>
      <w:r>
        <w:rPr>
          <w:rFonts w:ascii="Arial" w:hAnsi="Arial" w:cs="Arial"/>
          <w:bCs/>
          <w:sz w:val="22"/>
          <w:szCs w:val="22"/>
        </w:rPr>
        <w:t>i</w:t>
      </w:r>
      <w:r w:rsidRPr="009C3730">
        <w:rPr>
          <w:rFonts w:ascii="Arial" w:hAnsi="Arial" w:cs="Arial"/>
          <w:bCs/>
          <w:sz w:val="22"/>
          <w:szCs w:val="22"/>
        </w:rPr>
        <w:t>nstitucional</w:t>
      </w:r>
      <w:r>
        <w:rPr>
          <w:rFonts w:ascii="Arial" w:hAnsi="Arial" w:cs="Arial"/>
          <w:bCs/>
          <w:sz w:val="22"/>
          <w:szCs w:val="22"/>
        </w:rPr>
        <w:t>; y e</w:t>
      </w:r>
      <w:r w:rsidRPr="009C3730">
        <w:rPr>
          <w:rFonts w:ascii="Arial" w:hAnsi="Arial" w:cs="Arial"/>
          <w:bCs/>
          <w:sz w:val="22"/>
          <w:szCs w:val="22"/>
        </w:rPr>
        <w:t xml:space="preserve">nfoque por </w:t>
      </w:r>
      <w:r>
        <w:rPr>
          <w:rFonts w:ascii="Arial" w:hAnsi="Arial" w:cs="Arial"/>
          <w:bCs/>
          <w:sz w:val="22"/>
          <w:szCs w:val="22"/>
        </w:rPr>
        <w:t>p</w:t>
      </w:r>
      <w:r w:rsidRPr="009C3730">
        <w:rPr>
          <w:rFonts w:ascii="Arial" w:hAnsi="Arial" w:cs="Arial"/>
          <w:bCs/>
          <w:sz w:val="22"/>
          <w:szCs w:val="22"/>
        </w:rPr>
        <w:t xml:space="preserve">rincipal </w:t>
      </w:r>
      <w:r>
        <w:rPr>
          <w:rFonts w:ascii="Arial" w:hAnsi="Arial" w:cs="Arial"/>
          <w:bCs/>
          <w:sz w:val="22"/>
          <w:szCs w:val="22"/>
        </w:rPr>
        <w:t>p</w:t>
      </w:r>
      <w:r w:rsidRPr="009C3730">
        <w:rPr>
          <w:rFonts w:ascii="Arial" w:hAnsi="Arial" w:cs="Arial"/>
          <w:bCs/>
          <w:sz w:val="22"/>
          <w:szCs w:val="22"/>
        </w:rPr>
        <w:t xml:space="preserve">roceso </w:t>
      </w:r>
      <w:r>
        <w:rPr>
          <w:rFonts w:ascii="Arial" w:hAnsi="Arial" w:cs="Arial"/>
          <w:bCs/>
          <w:sz w:val="22"/>
          <w:szCs w:val="22"/>
        </w:rPr>
        <w:t>s</w:t>
      </w:r>
      <w:r w:rsidRPr="009C3730">
        <w:rPr>
          <w:rFonts w:ascii="Arial" w:hAnsi="Arial" w:cs="Arial"/>
          <w:bCs/>
          <w:sz w:val="22"/>
          <w:szCs w:val="22"/>
        </w:rPr>
        <w:t>ustantivo</w:t>
      </w:r>
      <w:r>
        <w:rPr>
          <w:rFonts w:ascii="Arial" w:hAnsi="Arial" w:cs="Arial"/>
          <w:bCs/>
          <w:sz w:val="22"/>
          <w:szCs w:val="22"/>
        </w:rPr>
        <w:t>.</w:t>
      </w:r>
    </w:p>
    <w:p w:rsidR="00B86E3B" w:rsidRDefault="00B86E3B" w:rsidP="00B86E3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FFFFFF"/>
          <w:sz w:val="20"/>
        </w:rPr>
      </w:pPr>
    </w:p>
    <w:p w:rsidR="00B86E3B" w:rsidRPr="00546E99" w:rsidRDefault="00B86E3B" w:rsidP="00B86E3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017E02">
        <w:rPr>
          <w:rFonts w:ascii="Arial" w:hAnsi="Arial" w:cs="Arial"/>
          <w:bCs/>
          <w:sz w:val="22"/>
          <w:szCs w:val="22"/>
        </w:rPr>
        <w:t xml:space="preserve">Las </w:t>
      </w:r>
      <w:r w:rsidRPr="00487AED">
        <w:rPr>
          <w:rFonts w:ascii="Arial" w:hAnsi="Arial" w:cs="Arial"/>
          <w:bCs/>
          <w:sz w:val="22"/>
          <w:szCs w:val="22"/>
        </w:rPr>
        <w:t>activid</w:t>
      </w:r>
      <w:r>
        <w:rPr>
          <w:rFonts w:ascii="Arial" w:hAnsi="Arial" w:cs="Arial"/>
          <w:bCs/>
          <w:sz w:val="22"/>
          <w:szCs w:val="22"/>
        </w:rPr>
        <w:t>ades de mejora, a nivel global y a nivel proceso sustantivo se atendieron en un 100%</w:t>
      </w:r>
      <w:r w:rsidRPr="00487AED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durante el 2010</w:t>
      </w:r>
      <w:r w:rsidRPr="00487AED">
        <w:rPr>
          <w:rFonts w:ascii="Arial" w:hAnsi="Arial" w:cs="Arial"/>
          <w:bCs/>
          <w:sz w:val="22"/>
          <w:szCs w:val="22"/>
        </w:rPr>
        <w:t xml:space="preserve">, </w:t>
      </w:r>
      <w:r>
        <w:rPr>
          <w:rFonts w:ascii="Arial" w:hAnsi="Arial" w:cs="Arial"/>
          <w:bCs/>
          <w:sz w:val="22"/>
          <w:szCs w:val="22"/>
        </w:rPr>
        <w:t>se implanto el Manual Administrativo de Aplicación General en materia de control interno,</w:t>
      </w:r>
      <w:r w:rsidR="006268EA">
        <w:rPr>
          <w:rFonts w:ascii="Arial" w:hAnsi="Arial" w:cs="Arial"/>
          <w:bCs/>
          <w:sz w:val="22"/>
          <w:szCs w:val="22"/>
        </w:rPr>
        <w:t xml:space="preserve"> se designó al servidor público C</w:t>
      </w:r>
      <w:r>
        <w:rPr>
          <w:rFonts w:ascii="Arial" w:hAnsi="Arial" w:cs="Arial"/>
          <w:bCs/>
          <w:sz w:val="22"/>
          <w:szCs w:val="22"/>
        </w:rPr>
        <w:t xml:space="preserve">oordinador del </w:t>
      </w:r>
      <w:r w:rsidR="006268EA">
        <w:rPr>
          <w:rFonts w:ascii="Arial" w:hAnsi="Arial" w:cs="Arial"/>
          <w:bCs/>
          <w:sz w:val="22"/>
          <w:szCs w:val="22"/>
        </w:rPr>
        <w:t>C</w:t>
      </w:r>
      <w:r>
        <w:rPr>
          <w:rFonts w:ascii="Arial" w:hAnsi="Arial" w:cs="Arial"/>
          <w:bCs/>
          <w:sz w:val="22"/>
          <w:szCs w:val="22"/>
        </w:rPr>
        <w:t xml:space="preserve">ontrol </w:t>
      </w:r>
      <w:r w:rsidR="006268EA" w:rsidRPr="00546E99">
        <w:rPr>
          <w:rFonts w:ascii="Arial" w:hAnsi="Arial" w:cs="Arial"/>
          <w:bCs/>
          <w:sz w:val="22"/>
          <w:szCs w:val="22"/>
        </w:rPr>
        <w:t>I</w:t>
      </w:r>
      <w:r w:rsidRPr="00546E99">
        <w:rPr>
          <w:rFonts w:ascii="Arial" w:hAnsi="Arial" w:cs="Arial"/>
          <w:bCs/>
          <w:sz w:val="22"/>
          <w:szCs w:val="22"/>
        </w:rPr>
        <w:t xml:space="preserve">nterno </w:t>
      </w:r>
      <w:r w:rsidR="006268EA" w:rsidRPr="00546E99">
        <w:rPr>
          <w:rFonts w:ascii="Arial" w:hAnsi="Arial" w:cs="Arial"/>
          <w:bCs/>
          <w:sz w:val="22"/>
          <w:szCs w:val="22"/>
        </w:rPr>
        <w:t>I</w:t>
      </w:r>
      <w:r w:rsidRPr="00546E99">
        <w:rPr>
          <w:rFonts w:ascii="Arial" w:hAnsi="Arial" w:cs="Arial"/>
          <w:bCs/>
          <w:sz w:val="22"/>
          <w:szCs w:val="22"/>
        </w:rPr>
        <w:t>nstitucional</w:t>
      </w:r>
      <w:r w:rsidR="006268EA" w:rsidRPr="00546E99">
        <w:rPr>
          <w:rFonts w:ascii="Arial" w:hAnsi="Arial" w:cs="Arial"/>
          <w:bCs/>
          <w:sz w:val="22"/>
          <w:szCs w:val="22"/>
        </w:rPr>
        <w:t>,</w:t>
      </w:r>
      <w:r w:rsidRPr="00546E99">
        <w:rPr>
          <w:rFonts w:ascii="Arial" w:hAnsi="Arial" w:cs="Arial"/>
          <w:bCs/>
          <w:sz w:val="22"/>
          <w:szCs w:val="22"/>
        </w:rPr>
        <w:t xml:space="preserve"> al servidor público </w:t>
      </w:r>
      <w:r w:rsidR="006268EA" w:rsidRPr="00546E99">
        <w:rPr>
          <w:rFonts w:ascii="Arial" w:hAnsi="Arial" w:cs="Arial"/>
          <w:bCs/>
          <w:sz w:val="22"/>
          <w:szCs w:val="22"/>
        </w:rPr>
        <w:t>R</w:t>
      </w:r>
      <w:r w:rsidRPr="00546E99">
        <w:rPr>
          <w:rFonts w:ascii="Arial" w:hAnsi="Arial" w:cs="Arial"/>
          <w:bCs/>
          <w:sz w:val="22"/>
          <w:szCs w:val="22"/>
        </w:rPr>
        <w:t>esponsable de la</w:t>
      </w:r>
      <w:r w:rsidR="006268EA" w:rsidRPr="00546E99">
        <w:rPr>
          <w:rFonts w:ascii="Arial" w:hAnsi="Arial" w:cs="Arial"/>
          <w:bCs/>
          <w:sz w:val="22"/>
          <w:szCs w:val="22"/>
        </w:rPr>
        <w:t xml:space="preserve"> A</w:t>
      </w:r>
      <w:r w:rsidRPr="00546E99">
        <w:rPr>
          <w:rFonts w:ascii="Arial" w:hAnsi="Arial" w:cs="Arial"/>
          <w:bCs/>
          <w:sz w:val="22"/>
          <w:szCs w:val="22"/>
        </w:rPr>
        <w:t xml:space="preserve">dministración de </w:t>
      </w:r>
      <w:r w:rsidR="006268EA" w:rsidRPr="00546E99">
        <w:rPr>
          <w:rFonts w:ascii="Arial" w:hAnsi="Arial" w:cs="Arial"/>
          <w:bCs/>
          <w:sz w:val="22"/>
          <w:szCs w:val="22"/>
        </w:rPr>
        <w:t>R</w:t>
      </w:r>
      <w:r w:rsidRPr="00546E99">
        <w:rPr>
          <w:rFonts w:ascii="Arial" w:hAnsi="Arial" w:cs="Arial"/>
          <w:bCs/>
          <w:sz w:val="22"/>
          <w:szCs w:val="22"/>
        </w:rPr>
        <w:t xml:space="preserve">iesgos </w:t>
      </w:r>
      <w:r w:rsidR="006268EA" w:rsidRPr="00546E99">
        <w:rPr>
          <w:rFonts w:ascii="Arial" w:hAnsi="Arial" w:cs="Arial"/>
          <w:bCs/>
          <w:sz w:val="22"/>
          <w:szCs w:val="22"/>
        </w:rPr>
        <w:t>y al Enlace del Proceso “Aplicación del Modelo Estándar de Control Interno. Se</w:t>
      </w:r>
      <w:r w:rsidRPr="00546E99">
        <w:rPr>
          <w:rFonts w:ascii="Arial" w:hAnsi="Arial" w:cs="Arial"/>
          <w:bCs/>
          <w:sz w:val="22"/>
          <w:szCs w:val="22"/>
        </w:rPr>
        <w:t xml:space="preserve"> estableció la metodología para la administración de riesgos conteniendo las etapas mínimas descritas en el MAAG.</w:t>
      </w:r>
    </w:p>
    <w:p w:rsidR="00B86E3B" w:rsidRPr="00546E99" w:rsidRDefault="00B86E3B" w:rsidP="00B86E3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:rsidR="00B86E3B" w:rsidRPr="00546E99" w:rsidRDefault="00B86E3B" w:rsidP="00B86E3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546E99">
        <w:rPr>
          <w:rFonts w:ascii="Arial" w:hAnsi="Arial" w:cs="Arial"/>
          <w:bCs/>
          <w:sz w:val="22"/>
          <w:szCs w:val="22"/>
        </w:rPr>
        <w:t>Se llevó a cabo la aplicación de las Encuestas sobre control interno a nivel Directivo, Estratégico y Operativo para el ejercicio 2010, detectando áreas de oportunidad para el Fortalecimiento del Control Interno Institucional, mismas que se atenderán durante 2011.</w:t>
      </w:r>
    </w:p>
    <w:p w:rsidR="00B86E3B" w:rsidRPr="00546E99" w:rsidRDefault="00B86E3B" w:rsidP="00B86E3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:rsidR="00B86E3B" w:rsidRPr="00546E99" w:rsidRDefault="00B86E3B" w:rsidP="00B86E3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546E99">
        <w:rPr>
          <w:rFonts w:ascii="Arial" w:hAnsi="Arial" w:cs="Arial"/>
          <w:bCs/>
          <w:sz w:val="22"/>
          <w:szCs w:val="22"/>
        </w:rPr>
        <w:t xml:space="preserve">Entre los aspectos relevantes a atender se encuentran la Implementación de Tecnologías de Información para el control de procesos así como el registro de usuarios y contraseñas para la protección de </w:t>
      </w:r>
      <w:r w:rsidR="00546E99" w:rsidRPr="00546E99">
        <w:rPr>
          <w:rFonts w:ascii="Arial" w:hAnsi="Arial" w:cs="Arial"/>
          <w:bCs/>
          <w:sz w:val="22"/>
          <w:szCs w:val="22"/>
        </w:rPr>
        <w:t>registros</w:t>
      </w:r>
      <w:r w:rsidRPr="00546E99">
        <w:rPr>
          <w:rFonts w:ascii="Arial" w:hAnsi="Arial" w:cs="Arial"/>
          <w:bCs/>
          <w:sz w:val="22"/>
          <w:szCs w:val="22"/>
        </w:rPr>
        <w:t>, aplicación de la mejora continua en las actividades de supervisión de las operaciones de control así como la identificación de la causa raíz de las debilidades del control interno a efecto de evitar su recurrencia.</w:t>
      </w:r>
    </w:p>
    <w:p w:rsidR="00B86E3B" w:rsidRPr="00546E99" w:rsidRDefault="00B86E3B" w:rsidP="00B86E3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:rsidR="00B86E3B" w:rsidRPr="00546E99" w:rsidRDefault="00B86E3B" w:rsidP="00B86E3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546E99">
        <w:rPr>
          <w:rFonts w:ascii="Arial" w:hAnsi="Arial" w:cs="Arial"/>
          <w:b/>
          <w:bCs/>
          <w:sz w:val="22"/>
          <w:szCs w:val="22"/>
        </w:rPr>
        <w:t>11.2 Sistema de Administración de Riesgos</w:t>
      </w:r>
    </w:p>
    <w:p w:rsidR="00B86E3B" w:rsidRPr="00546E99" w:rsidRDefault="00B86E3B" w:rsidP="00B86E3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:rsidR="00B86E3B" w:rsidRPr="00546E99" w:rsidRDefault="00B86E3B" w:rsidP="00B86E3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546E99">
        <w:rPr>
          <w:rFonts w:ascii="Arial" w:hAnsi="Arial" w:cs="Arial"/>
          <w:bCs/>
          <w:sz w:val="22"/>
          <w:szCs w:val="22"/>
        </w:rPr>
        <w:t xml:space="preserve">En el análisis sobre posibles riesgos que tienen efecto sobre el cumplimiento de metas y objetivos, se </w:t>
      </w:r>
      <w:r w:rsidR="006268EA" w:rsidRPr="00546E99">
        <w:rPr>
          <w:rFonts w:ascii="Arial" w:hAnsi="Arial" w:cs="Arial"/>
          <w:bCs/>
          <w:sz w:val="22"/>
          <w:szCs w:val="22"/>
        </w:rPr>
        <w:t xml:space="preserve">determinaron los </w:t>
      </w:r>
      <w:r w:rsidRPr="00546E99">
        <w:rPr>
          <w:rFonts w:ascii="Arial" w:hAnsi="Arial" w:cs="Arial"/>
          <w:bCs/>
          <w:sz w:val="22"/>
          <w:szCs w:val="22"/>
        </w:rPr>
        <w:t>siguiente</w:t>
      </w:r>
      <w:r w:rsidR="006268EA" w:rsidRPr="00546E99">
        <w:rPr>
          <w:rFonts w:ascii="Arial" w:hAnsi="Arial" w:cs="Arial"/>
          <w:bCs/>
          <w:sz w:val="22"/>
          <w:szCs w:val="22"/>
        </w:rPr>
        <w:t>s</w:t>
      </w:r>
      <w:r w:rsidRPr="00546E99">
        <w:rPr>
          <w:rFonts w:ascii="Arial" w:hAnsi="Arial" w:cs="Arial"/>
          <w:bCs/>
          <w:sz w:val="22"/>
          <w:szCs w:val="22"/>
        </w:rPr>
        <w:t>:</w:t>
      </w:r>
    </w:p>
    <w:p w:rsidR="00B86E3B" w:rsidRPr="00546E99" w:rsidRDefault="00B86E3B" w:rsidP="00B86E3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:rsidR="00B86E3B" w:rsidRPr="00546E99" w:rsidRDefault="00B86E3B" w:rsidP="00B86E3B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546E99">
        <w:rPr>
          <w:rFonts w:ascii="Arial" w:hAnsi="Arial" w:cs="Arial"/>
          <w:b/>
          <w:bCs/>
          <w:sz w:val="22"/>
          <w:szCs w:val="22"/>
        </w:rPr>
        <w:t>Conocimiento sin registro de propiedad intelectual</w:t>
      </w:r>
      <w:r w:rsidRPr="00546E99">
        <w:rPr>
          <w:rFonts w:ascii="Arial" w:hAnsi="Arial" w:cs="Arial"/>
          <w:bCs/>
          <w:sz w:val="22"/>
          <w:szCs w:val="22"/>
        </w:rPr>
        <w:t>. Para este riesgo, se identificaron 3 factores que inciden en la posible materialización:</w:t>
      </w:r>
    </w:p>
    <w:p w:rsidR="00B86E3B" w:rsidRPr="00546E99" w:rsidRDefault="00B86E3B" w:rsidP="00B86E3B">
      <w:pPr>
        <w:pStyle w:val="Prrafodelista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546E99">
        <w:rPr>
          <w:rFonts w:ascii="Arial" w:hAnsi="Arial" w:cs="Arial"/>
          <w:bCs/>
          <w:sz w:val="22"/>
          <w:szCs w:val="22"/>
        </w:rPr>
        <w:t>Entorno</w:t>
      </w:r>
    </w:p>
    <w:p w:rsidR="00B86E3B" w:rsidRPr="00546E99" w:rsidRDefault="00B86E3B" w:rsidP="00B86E3B">
      <w:pPr>
        <w:pStyle w:val="Prrafodelista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546E99">
        <w:rPr>
          <w:rFonts w:ascii="Arial" w:hAnsi="Arial" w:cs="Arial"/>
          <w:bCs/>
          <w:sz w:val="22"/>
          <w:szCs w:val="22"/>
        </w:rPr>
        <w:t>Financiero</w:t>
      </w:r>
    </w:p>
    <w:p w:rsidR="00B86E3B" w:rsidRPr="00546E99" w:rsidRDefault="00B86E3B" w:rsidP="00B86E3B">
      <w:pPr>
        <w:pStyle w:val="Prrafodelista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546E99">
        <w:rPr>
          <w:rFonts w:ascii="Arial" w:hAnsi="Arial" w:cs="Arial"/>
          <w:bCs/>
          <w:sz w:val="22"/>
          <w:szCs w:val="22"/>
        </w:rPr>
        <w:t xml:space="preserve">Normativo </w:t>
      </w:r>
    </w:p>
    <w:p w:rsidR="00911FE8" w:rsidRDefault="00911FE8" w:rsidP="00B86E3B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bCs/>
          <w:sz w:val="22"/>
          <w:szCs w:val="22"/>
        </w:rPr>
      </w:pPr>
    </w:p>
    <w:p w:rsidR="00B86E3B" w:rsidRPr="00546E99" w:rsidRDefault="00B86E3B" w:rsidP="00B86E3B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546E99">
        <w:rPr>
          <w:rFonts w:ascii="Arial" w:hAnsi="Arial" w:cs="Arial"/>
          <w:bCs/>
          <w:sz w:val="22"/>
          <w:szCs w:val="22"/>
        </w:rPr>
        <w:t>Dentro de los controles que se tienen para prevenir la materialización del riesgo se encuentran:</w:t>
      </w:r>
    </w:p>
    <w:p w:rsidR="00B86E3B" w:rsidRPr="00546E99" w:rsidRDefault="00B86E3B" w:rsidP="00B86E3B">
      <w:pPr>
        <w:pStyle w:val="Prrafodelista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546E99">
        <w:rPr>
          <w:rFonts w:ascii="Arial" w:hAnsi="Arial" w:cs="Arial"/>
          <w:bCs/>
          <w:sz w:val="22"/>
          <w:szCs w:val="22"/>
        </w:rPr>
        <w:t>Adecuación del Reglamento del Personal Académico</w:t>
      </w:r>
    </w:p>
    <w:p w:rsidR="00B86E3B" w:rsidRPr="00546E99" w:rsidRDefault="00B86E3B" w:rsidP="00B86E3B">
      <w:pPr>
        <w:pStyle w:val="Prrafodelista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546E99">
        <w:rPr>
          <w:rFonts w:ascii="Arial" w:hAnsi="Arial" w:cs="Arial"/>
          <w:bCs/>
          <w:sz w:val="22"/>
          <w:szCs w:val="22"/>
        </w:rPr>
        <w:t>Previsión de recursos para cubrir el costo del registro de patentes</w:t>
      </w:r>
    </w:p>
    <w:p w:rsidR="00B86E3B" w:rsidRPr="00546E99" w:rsidRDefault="00B86E3B" w:rsidP="00B86E3B">
      <w:pPr>
        <w:pStyle w:val="Prrafodelista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546E99">
        <w:rPr>
          <w:rFonts w:ascii="Arial" w:hAnsi="Arial" w:cs="Arial"/>
          <w:bCs/>
          <w:sz w:val="22"/>
          <w:szCs w:val="22"/>
        </w:rPr>
        <w:t>Fomento de la cultura de la protección del conocimiento</w:t>
      </w:r>
    </w:p>
    <w:p w:rsidR="00B86E3B" w:rsidRPr="00546E99" w:rsidRDefault="00B86E3B" w:rsidP="00B86E3B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sz w:val="22"/>
          <w:szCs w:val="22"/>
        </w:rPr>
      </w:pPr>
    </w:p>
    <w:p w:rsidR="00B86E3B" w:rsidRPr="00546E99" w:rsidRDefault="00B86E3B" w:rsidP="00B86E3B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546E99">
        <w:rPr>
          <w:rFonts w:ascii="Arial" w:hAnsi="Arial" w:cs="Arial"/>
          <w:b/>
          <w:bCs/>
          <w:sz w:val="22"/>
          <w:szCs w:val="22"/>
        </w:rPr>
        <w:t>Programa de Posgrado sin Registro en el Padrón de Excelencia del C</w:t>
      </w:r>
      <w:r w:rsidR="00546E99">
        <w:rPr>
          <w:rFonts w:ascii="Arial" w:hAnsi="Arial" w:cs="Arial"/>
          <w:b/>
          <w:bCs/>
          <w:sz w:val="22"/>
          <w:szCs w:val="22"/>
        </w:rPr>
        <w:t>ONACYT</w:t>
      </w:r>
      <w:r w:rsidRPr="00546E99">
        <w:rPr>
          <w:rFonts w:ascii="Arial" w:hAnsi="Arial" w:cs="Arial"/>
          <w:bCs/>
          <w:sz w:val="22"/>
          <w:szCs w:val="22"/>
        </w:rPr>
        <w:t>. Para este riesgo, se identificaron 3 factores que inciden en la posible materialización:</w:t>
      </w:r>
    </w:p>
    <w:p w:rsidR="00B86E3B" w:rsidRPr="00546E99" w:rsidRDefault="00B86E3B" w:rsidP="00B86E3B">
      <w:pPr>
        <w:pStyle w:val="Prrafodelista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546E99">
        <w:rPr>
          <w:rFonts w:ascii="Arial" w:hAnsi="Arial" w:cs="Arial"/>
          <w:bCs/>
          <w:sz w:val="22"/>
          <w:szCs w:val="22"/>
        </w:rPr>
        <w:t>Humano</w:t>
      </w:r>
    </w:p>
    <w:p w:rsidR="00B86E3B" w:rsidRPr="00546E99" w:rsidRDefault="00B86E3B" w:rsidP="00B86E3B">
      <w:pPr>
        <w:pStyle w:val="Prrafodelista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546E99">
        <w:rPr>
          <w:rFonts w:ascii="Arial" w:hAnsi="Arial" w:cs="Arial"/>
          <w:bCs/>
          <w:sz w:val="22"/>
          <w:szCs w:val="22"/>
        </w:rPr>
        <w:lastRenderedPageBreak/>
        <w:t>Financiero</w:t>
      </w:r>
    </w:p>
    <w:p w:rsidR="00B86E3B" w:rsidRPr="00546E99" w:rsidRDefault="00B86E3B" w:rsidP="00B86E3B">
      <w:pPr>
        <w:pStyle w:val="Prrafodelista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546E99">
        <w:rPr>
          <w:rFonts w:ascii="Arial" w:hAnsi="Arial" w:cs="Arial"/>
          <w:bCs/>
          <w:sz w:val="22"/>
          <w:szCs w:val="22"/>
        </w:rPr>
        <w:t xml:space="preserve">Normativo </w:t>
      </w:r>
    </w:p>
    <w:p w:rsidR="00911FE8" w:rsidRDefault="00911FE8" w:rsidP="00B86E3B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bCs/>
          <w:sz w:val="22"/>
          <w:szCs w:val="22"/>
        </w:rPr>
      </w:pPr>
    </w:p>
    <w:p w:rsidR="00B86E3B" w:rsidRPr="00546E99" w:rsidRDefault="00B86E3B" w:rsidP="00B86E3B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546E99">
        <w:rPr>
          <w:rFonts w:ascii="Arial" w:hAnsi="Arial" w:cs="Arial"/>
          <w:bCs/>
          <w:sz w:val="22"/>
          <w:szCs w:val="22"/>
        </w:rPr>
        <w:t>Dentro de los controles que se tienen para prevenir la materialización del riesgo se encuentran:</w:t>
      </w:r>
    </w:p>
    <w:p w:rsidR="00B86E3B" w:rsidRPr="00546E99" w:rsidRDefault="00B86E3B" w:rsidP="00546E99">
      <w:pPr>
        <w:pStyle w:val="Prrafodelista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546E99">
        <w:rPr>
          <w:rFonts w:ascii="Arial" w:hAnsi="Arial" w:cs="Arial"/>
          <w:bCs/>
          <w:sz w:val="22"/>
          <w:szCs w:val="22"/>
        </w:rPr>
        <w:t>Adecuación del reglamento de Estudios de Posgrado</w:t>
      </w:r>
    </w:p>
    <w:p w:rsidR="00B86E3B" w:rsidRPr="00546E99" w:rsidRDefault="00B86E3B" w:rsidP="00546E99">
      <w:pPr>
        <w:pStyle w:val="Prrafodelista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546E99">
        <w:rPr>
          <w:rFonts w:ascii="Arial" w:hAnsi="Arial" w:cs="Arial"/>
          <w:bCs/>
          <w:sz w:val="22"/>
          <w:szCs w:val="22"/>
        </w:rPr>
        <w:t>Revisión de la matricula por investigador anualmente</w:t>
      </w:r>
    </w:p>
    <w:p w:rsidR="00B86E3B" w:rsidRPr="00546E99" w:rsidRDefault="00B86E3B" w:rsidP="00546E99">
      <w:pPr>
        <w:pStyle w:val="Prrafodelista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546E99">
        <w:rPr>
          <w:rFonts w:ascii="Arial" w:hAnsi="Arial" w:cs="Arial"/>
          <w:bCs/>
          <w:sz w:val="22"/>
          <w:szCs w:val="22"/>
        </w:rPr>
        <w:t>Aceptación de estudiantes de nuevo ingreso de acuerdo al número de investigadores</w:t>
      </w:r>
    </w:p>
    <w:p w:rsidR="006268EA" w:rsidRPr="00546E99" w:rsidRDefault="006268EA" w:rsidP="00546E99">
      <w:pPr>
        <w:jc w:val="both"/>
        <w:rPr>
          <w:rFonts w:ascii="Arial" w:hAnsi="Arial" w:cs="Arial"/>
          <w:sz w:val="22"/>
          <w:szCs w:val="22"/>
        </w:rPr>
      </w:pPr>
    </w:p>
    <w:p w:rsidR="006268EA" w:rsidRPr="00546E99" w:rsidRDefault="006268EA" w:rsidP="00546E99">
      <w:pPr>
        <w:jc w:val="both"/>
        <w:rPr>
          <w:rFonts w:ascii="Arial" w:hAnsi="Arial" w:cs="Arial"/>
          <w:sz w:val="22"/>
          <w:szCs w:val="22"/>
        </w:rPr>
      </w:pPr>
      <w:r w:rsidRPr="00546E99">
        <w:rPr>
          <w:rFonts w:ascii="Arial" w:hAnsi="Arial" w:cs="Arial"/>
          <w:sz w:val="22"/>
          <w:szCs w:val="22"/>
        </w:rPr>
        <w:t xml:space="preserve">De acuerdo al  Manual Administrativo de Aplicación General en Materia de Control Interno, </w:t>
      </w:r>
      <w:r w:rsidR="00546E99" w:rsidRPr="00546E99">
        <w:rPr>
          <w:rFonts w:ascii="Arial" w:hAnsi="Arial" w:cs="Arial"/>
          <w:sz w:val="22"/>
          <w:szCs w:val="22"/>
        </w:rPr>
        <w:t>se presentará el informe anual a más tardar el 31 de mayo con corte al 30 de abril</w:t>
      </w:r>
      <w:r w:rsidR="0006799A">
        <w:rPr>
          <w:rFonts w:ascii="Arial" w:hAnsi="Arial" w:cs="Arial"/>
          <w:sz w:val="22"/>
          <w:szCs w:val="22"/>
        </w:rPr>
        <w:t xml:space="preserve"> de 2011</w:t>
      </w:r>
      <w:r w:rsidR="00546E99" w:rsidRPr="00546E99">
        <w:rPr>
          <w:rFonts w:ascii="Arial" w:hAnsi="Arial" w:cs="Arial"/>
          <w:sz w:val="22"/>
          <w:szCs w:val="22"/>
        </w:rPr>
        <w:t>.</w:t>
      </w:r>
    </w:p>
    <w:p w:rsidR="00546E99" w:rsidRPr="00546E99" w:rsidRDefault="00546E99" w:rsidP="00546E99">
      <w:pPr>
        <w:jc w:val="both"/>
        <w:rPr>
          <w:rFonts w:ascii="Arial" w:hAnsi="Arial" w:cs="Arial"/>
          <w:sz w:val="22"/>
          <w:szCs w:val="22"/>
        </w:rPr>
      </w:pPr>
      <w:r w:rsidRPr="00546E99">
        <w:rPr>
          <w:rFonts w:ascii="Arial" w:hAnsi="Arial" w:cs="Arial"/>
          <w:sz w:val="22"/>
          <w:szCs w:val="22"/>
        </w:rPr>
        <w:br/>
        <w:t>Asimismo, a partir del 1 de mayo</w:t>
      </w:r>
      <w:r w:rsidR="0006799A">
        <w:rPr>
          <w:rFonts w:ascii="Arial" w:hAnsi="Arial" w:cs="Arial"/>
          <w:sz w:val="22"/>
          <w:szCs w:val="22"/>
        </w:rPr>
        <w:t xml:space="preserve"> de 2011,</w:t>
      </w:r>
      <w:r w:rsidRPr="00546E99">
        <w:rPr>
          <w:rFonts w:ascii="Arial" w:hAnsi="Arial" w:cs="Arial"/>
          <w:sz w:val="22"/>
          <w:szCs w:val="22"/>
        </w:rPr>
        <w:t xml:space="preserve"> en la página de la SFP se pondrá a disposición la herramienta para la consolidación de las encuestas de autoevaluación.</w:t>
      </w:r>
    </w:p>
    <w:p w:rsidR="00546E99" w:rsidRPr="00546E99" w:rsidRDefault="00546E99" w:rsidP="00546E99">
      <w:pPr>
        <w:jc w:val="both"/>
        <w:rPr>
          <w:rFonts w:ascii="Arial" w:hAnsi="Arial" w:cs="Arial"/>
          <w:sz w:val="22"/>
          <w:szCs w:val="22"/>
        </w:rPr>
      </w:pPr>
    </w:p>
    <w:p w:rsidR="00546E99" w:rsidRPr="00546E99" w:rsidRDefault="00546E99" w:rsidP="00546E99">
      <w:pPr>
        <w:jc w:val="both"/>
        <w:rPr>
          <w:rFonts w:ascii="Arial" w:hAnsi="Arial" w:cs="Arial"/>
          <w:sz w:val="22"/>
          <w:szCs w:val="22"/>
        </w:rPr>
      </w:pPr>
    </w:p>
    <w:p w:rsidR="006268EA" w:rsidRPr="00546E99" w:rsidRDefault="006268EA" w:rsidP="00546E99">
      <w:pPr>
        <w:jc w:val="both"/>
        <w:rPr>
          <w:rFonts w:ascii="Arial" w:hAnsi="Arial" w:cs="Arial"/>
          <w:sz w:val="22"/>
          <w:szCs w:val="22"/>
        </w:rPr>
      </w:pPr>
    </w:p>
    <w:sectPr w:rsidR="006268EA" w:rsidRPr="00546E99" w:rsidSect="00DF7DE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D4043"/>
    <w:multiLevelType w:val="hybridMultilevel"/>
    <w:tmpl w:val="1CFEB878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3A57E51"/>
    <w:multiLevelType w:val="hybridMultilevel"/>
    <w:tmpl w:val="007CF9C6"/>
    <w:lvl w:ilvl="0" w:tplc="5A3E84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363846"/>
    <w:multiLevelType w:val="hybridMultilevel"/>
    <w:tmpl w:val="1CFEB878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B86E3B"/>
    <w:rsid w:val="0006799A"/>
    <w:rsid w:val="00086928"/>
    <w:rsid w:val="00130D27"/>
    <w:rsid w:val="001F6898"/>
    <w:rsid w:val="004B08C9"/>
    <w:rsid w:val="005352C0"/>
    <w:rsid w:val="00546E99"/>
    <w:rsid w:val="006268EA"/>
    <w:rsid w:val="00885418"/>
    <w:rsid w:val="00911FE8"/>
    <w:rsid w:val="00B86E3B"/>
    <w:rsid w:val="00DF7DEF"/>
    <w:rsid w:val="00E00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E3B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86E3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268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68EA"/>
    <w:rPr>
      <w:rFonts w:ascii="Tahoma" w:eastAsia="Times New Roman" w:hAnsi="Tahoma" w:cs="Tahoma"/>
      <w:sz w:val="16"/>
      <w:szCs w:val="16"/>
      <w:lang w:val="es-ES_tradnl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CIMAV</Company>
  <LinksUpToDate>false</LinksUpToDate>
  <CharactersWithSpaces>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namartinez</dc:creator>
  <cp:keywords/>
  <dc:description/>
  <cp:lastModifiedBy>edgar.mundo</cp:lastModifiedBy>
  <cp:revision>2</cp:revision>
  <dcterms:created xsi:type="dcterms:W3CDTF">2011-04-04T18:19:00Z</dcterms:created>
  <dcterms:modified xsi:type="dcterms:W3CDTF">2011-04-04T18:19:00Z</dcterms:modified>
</cp:coreProperties>
</file>